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14:paraId="00000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исполнении </w:t>
      </w:r>
      <w:r>
        <w:rPr>
          <w:b/>
          <w:sz w:val="28"/>
          <w:szCs w:val="28"/>
        </w:rPr>
        <w:t>ГБУ «</w:t>
      </w:r>
      <w:r>
        <w:rPr>
          <w:b/>
          <w:sz w:val="28"/>
          <w:szCs w:val="28"/>
        </w:rPr>
        <w:t>Информационный туристский центр Республики Карелия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(далее – </w:t>
      </w:r>
      <w:r>
        <w:rPr>
          <w:b/>
          <w:sz w:val="28"/>
          <w:szCs w:val="28"/>
        </w:rPr>
        <w:t>учреждение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у </w:t>
      </w:r>
    </w:p>
    <w:p w14:paraId="00000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Плана мероприятий по противодействию коррупции</w:t>
      </w:r>
    </w:p>
    <w:tbl>
      <w:tblPr>
        <w:tblStyle w:val="TableGrid"/>
        <w:tblW w:w="0" w:type="auto"/>
        <w:tblLook w:val="04A0"/>
      </w:tblPr>
      <w:tblGrid>
        <w:gridCol w:w="7508"/>
        <w:gridCol w:w="8061"/>
      </w:tblGrid>
      <w:tr>
        <w:trPr/>
        <w:tc>
          <w:tcPr>
            <w:cnfStyle w:val="101000000000"/>
            <w:tcW w:w="7508" w:type="dxa"/>
          </w:tcPr>
          <w:p w14:paraId="0000000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cnfStyle w:val="100000000000"/>
            <w:tcW w:w="8061" w:type="dxa"/>
          </w:tcPr>
          <w:p w14:paraId="00000005">
            <w:pPr>
              <w:jc w:val="center"/>
              <w:rPr>
                <w:b/>
              </w:rPr>
            </w:pPr>
            <w:r>
              <w:rPr>
                <w:b/>
              </w:rPr>
              <w:t>Информация о реализации</w:t>
            </w:r>
          </w:p>
        </w:tc>
      </w:tr>
      <w:tr>
        <w:trPr/>
        <w:tc>
          <w:tcPr>
            <w:cnfStyle w:val="001000100000"/>
            <w:tcW w:w="7508" w:type="dxa"/>
          </w:tcPr>
          <w:p w14:paraId="00000006">
            <w:pPr>
              <w:jc w:val="both"/>
              <w:rPr/>
            </w:pPr>
            <w:r>
              <w:t>Принятие мер по обеспечению соответствия локальных актов учреждения нормам законодательства в сфере противодействия коррупции</w:t>
            </w:r>
          </w:p>
        </w:tc>
        <w:tc>
          <w:tcPr>
            <w:cnfStyle w:val="000000100000"/>
            <w:tcW w:w="8061" w:type="dxa"/>
          </w:tcPr>
          <w:p w14:paraId="00000007">
            <w:pPr>
              <w:jc w:val="both"/>
              <w:rPr/>
            </w:pPr>
            <w:r>
              <w:t>В 202</w:t>
            </w:r>
            <w:r>
              <w:t>4</w:t>
            </w:r>
            <w:r>
              <w:t xml:space="preserve"> году в учреждении разработаны и утверждены приказы:</w:t>
            </w:r>
          </w:p>
          <w:p w14:paraId="00000008">
            <w:pPr>
              <w:jc w:val="both"/>
              <w:rPr/>
            </w:pPr>
            <w:r>
              <w:t xml:space="preserve">- от </w:t>
            </w:r>
            <w:r>
              <w:t xml:space="preserve">26 февраля 2024 года № 2 </w:t>
            </w:r>
            <w:r>
              <w:t>«О</w:t>
            </w:r>
            <w:r>
              <w:t>б утверждении Положения о комиссии и о создании комиссии по соблюдению требований к трудовому поведению работников ГБУ “ИТЦ РК” и урегулированию конфликта интересов»;</w:t>
            </w:r>
            <w:r>
              <w:t xml:space="preserve">  </w:t>
            </w:r>
          </w:p>
          <w:p w14:paraId="00000009">
            <w:pPr>
              <w:jc w:val="both"/>
              <w:rPr>
                <w:b/>
              </w:rPr>
            </w:pPr>
            <w:r>
              <w:t xml:space="preserve">- от </w:t>
            </w:r>
            <w:r>
              <w:t>20 мая 2024 года</w:t>
            </w:r>
            <w:r>
              <w:t xml:space="preserve"> №</w:t>
            </w:r>
            <w:r>
              <w:t xml:space="preserve"> 8.4</w:t>
            </w:r>
            <w:r>
              <w:t xml:space="preserve"> «О</w:t>
            </w:r>
            <w:r>
              <w:t>б утверждении нового состава комиссии по соблюдению требований к трудовому поведению работников ГБУ “ИТЦ РК” и урегулированию конфликта интересов</w:t>
            </w:r>
            <w:r>
              <w:t>»</w:t>
            </w:r>
            <w:r>
              <w:t>.</w:t>
            </w:r>
          </w:p>
        </w:tc>
      </w:tr>
      <w:tr>
        <w:trPr/>
        <w:tc>
          <w:tcPr>
            <w:cnfStyle w:val="001000010000"/>
            <w:tcW w:w="7508" w:type="dxa"/>
          </w:tcPr>
          <w:p w14:paraId="0000000A">
            <w:pPr>
              <w:pStyle w:val="NoSpacing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Внесение изменений и дополнений в план мероприятий по противодействию коррупции</w:t>
            </w:r>
          </w:p>
        </w:tc>
        <w:tc>
          <w:tcPr>
            <w:cnfStyle w:val="000000010000"/>
            <w:tcW w:w="8061" w:type="dxa"/>
          </w:tcPr>
          <w:p w14:paraId="0000000B">
            <w:pPr>
              <w:jc w:val="both"/>
              <w:rPr>
                <w:b/>
              </w:rPr>
            </w:pPr>
            <w:r>
              <w:rPr>
                <w:szCs w:val="28"/>
              </w:rPr>
              <w:t>План мероприятий по противодействию коррупции</w:t>
            </w:r>
            <w:r>
              <w:rPr>
                <w:szCs w:val="28"/>
              </w:rPr>
              <w:t xml:space="preserve"> на 2023-2024 годы утвержден приказом учреждения от 28 декабря 2022 года №19. </w:t>
            </w:r>
          </w:p>
        </w:tc>
      </w:tr>
      <w:tr>
        <w:trPr/>
        <w:tc>
          <w:tcPr>
            <w:cnfStyle w:val="001000100000"/>
            <w:tcW w:w="7508" w:type="dxa"/>
          </w:tcPr>
          <w:p w14:paraId="0000000C">
            <w:pPr>
              <w:jc w:val="both"/>
              <w:rPr/>
            </w:pPr>
            <w:r>
              <w:t>Подготовка и предоставление в вышестоящие органы отчетов о реализации мер антикоррупционной политики</w:t>
            </w:r>
          </w:p>
        </w:tc>
        <w:tc>
          <w:tcPr>
            <w:cnfStyle w:val="000000100000"/>
            <w:tcW w:w="8061" w:type="dxa"/>
          </w:tcPr>
          <w:p w14:paraId="0000000D">
            <w:pPr>
              <w:jc w:val="both"/>
              <w:rPr/>
            </w:pPr>
            <w:r>
              <w:t xml:space="preserve">Информация о реализации мер </w:t>
            </w:r>
            <w:r>
              <w:t>антикоррупционной политики</w:t>
            </w:r>
            <w:r>
              <w:t xml:space="preserve"> в учреждении представлена:</w:t>
            </w:r>
          </w:p>
          <w:p w14:paraId="0000000E">
            <w:pPr>
              <w:jc w:val="both"/>
              <w:rPr/>
            </w:pPr>
            <w:r>
              <w:t xml:space="preserve">- письмом учреждения от </w:t>
            </w:r>
            <w:r>
              <w:t>19</w:t>
            </w:r>
            <w:r>
              <w:t xml:space="preserve"> июня </w:t>
            </w:r>
            <w:r>
              <w:t>202</w:t>
            </w:r>
            <w:r>
              <w:t>4</w:t>
            </w:r>
            <w:r>
              <w:t xml:space="preserve"> </w:t>
            </w:r>
            <w:r>
              <w:t xml:space="preserve">года </w:t>
            </w:r>
            <w:r>
              <w:t xml:space="preserve">№ </w:t>
            </w:r>
            <w:r>
              <w:t>258</w:t>
            </w:r>
            <w:r>
              <w:t>/</w:t>
            </w:r>
            <w:r>
              <w:t>ИТЦ-и</w:t>
            </w:r>
            <w:r>
              <w:t>;</w:t>
            </w:r>
          </w:p>
          <w:p w14:paraId="0000000F">
            <w:pPr>
              <w:jc w:val="both"/>
              <w:rPr>
                <w:b/>
              </w:rPr>
            </w:pPr>
            <w:r>
              <w:t xml:space="preserve">- письмом учреждения от </w:t>
            </w:r>
            <w:r>
              <w:t>29</w:t>
            </w:r>
            <w:r>
              <w:t xml:space="preserve"> ноября 202</w:t>
            </w:r>
            <w:r>
              <w:t>4</w:t>
            </w:r>
            <w:r>
              <w:t xml:space="preserve"> года № </w:t>
            </w:r>
            <w:r>
              <w:t>561</w:t>
            </w:r>
            <w:r>
              <w:t>/ИТЦ-и.</w:t>
            </w:r>
          </w:p>
        </w:tc>
      </w:tr>
      <w:tr>
        <w:trPr/>
        <w:tc>
          <w:tcPr>
            <w:cnfStyle w:val="001000010000"/>
            <w:tcW w:w="7508" w:type="dxa"/>
          </w:tcPr>
          <w:p w14:paraId="00000010">
            <w:pPr>
              <w:jc w:val="both"/>
              <w:rPr/>
            </w:pPr>
            <w: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</w:tc>
        <w:tc>
          <w:tcPr>
            <w:cnfStyle w:val="000000010000"/>
            <w:tcW w:w="8061" w:type="dxa"/>
          </w:tcPr>
          <w:p w14:paraId="00000011">
            <w:pPr>
              <w:jc w:val="both"/>
              <w:rPr>
                <w:b/>
                <w:highlight w:val="yellow"/>
              </w:rPr>
            </w:pPr>
            <w:r>
              <w:t>Мониторинг действующего законодательства Российской Федерации в сфере противодействия коррупции на предмет его изменения проводится в учреждении на постоянной основе.</w:t>
            </w:r>
          </w:p>
        </w:tc>
      </w:tr>
      <w:tr>
        <w:trPr/>
        <w:tc>
          <w:tcPr>
            <w:cnfStyle w:val="001000100000"/>
            <w:tcW w:w="7508" w:type="dxa"/>
          </w:tcPr>
          <w:p w14:paraId="00000012">
            <w:pPr>
              <w:jc w:val="both"/>
              <w:rPr/>
            </w:pPr>
            <w:r>
              <w:t>Анализ и оценка эффективности принимаемых в учреждении мер по противодействию коррупции</w:t>
            </w:r>
          </w:p>
        </w:tc>
        <w:tc>
          <w:tcPr>
            <w:cnfStyle w:val="000000100000"/>
            <w:tcW w:w="8061" w:type="dxa"/>
          </w:tcPr>
          <w:p w14:paraId="00000013">
            <w:pPr>
              <w:jc w:val="both"/>
              <w:rPr>
                <w:b/>
              </w:rPr>
            </w:pPr>
            <w:r>
              <w:t>В 202</w:t>
            </w:r>
            <w:r>
              <w:t>4</w:t>
            </w:r>
            <w:r>
              <w:t xml:space="preserve"> г</w:t>
            </w:r>
            <w:r>
              <w:t>оду</w:t>
            </w:r>
            <w:r>
              <w:t xml:space="preserve"> нарушений коррупционного </w:t>
            </w:r>
            <w:r>
              <w:t>характера  в</w:t>
            </w:r>
            <w:r>
              <w:t xml:space="preserve"> учреждении не выявлено.</w:t>
            </w:r>
          </w:p>
        </w:tc>
      </w:tr>
      <w:tr>
        <w:trPr/>
        <w:tc>
          <w:tcPr>
            <w:cnfStyle w:val="001000010000"/>
            <w:tcW w:w="7508" w:type="dxa"/>
          </w:tcPr>
          <w:p w14:paraId="00000014">
            <w:pPr>
              <w:jc w:val="both"/>
              <w:rPr/>
            </w:pPr>
            <w:r>
              <w:t xml:space="preserve">Ознакомление работников с нормативными документами, регламентирующими вопросы противодействия коррупции в учреждении, с одновременным разъяснением положений указанных документов </w:t>
            </w:r>
          </w:p>
        </w:tc>
        <w:tc>
          <w:tcPr>
            <w:cnfStyle w:val="000000010000"/>
            <w:tcW w:w="8061" w:type="dxa"/>
          </w:tcPr>
          <w:p w14:paraId="00000015">
            <w:pPr>
              <w:jc w:val="both"/>
              <w:rPr/>
            </w:pPr>
            <w:r>
              <w:t xml:space="preserve">Вновь принятые работники учреждения </w:t>
            </w:r>
            <w:r>
              <w:t>знакомятся  с</w:t>
            </w:r>
            <w:r>
              <w:t xml:space="preserve"> нормативными документами, регламентирующими вопросы противодействия коррупции, при приеме на работу. Действующие сотрудники учреждения знакомятся с </w:t>
            </w:r>
            <w:r>
              <w:t>документами,  регламентирующими</w:t>
            </w:r>
            <w:r>
              <w:t xml:space="preserve"> вопросы противодействия коррупции,  по мере их  актуализации.</w:t>
            </w:r>
          </w:p>
          <w:p w14:paraId="00000016">
            <w:pPr>
              <w:jc w:val="both"/>
              <w:rPr>
                <w:b/>
              </w:rPr>
            </w:pPr>
            <w:r>
              <w:t>Ознакомление работников осуществляется под подпись.</w:t>
            </w:r>
          </w:p>
        </w:tc>
      </w:tr>
      <w:tr>
        <w:trPr/>
        <w:tc>
          <w:tcPr>
            <w:cnfStyle w:val="001000100000"/>
            <w:tcW w:w="7508" w:type="dxa"/>
          </w:tcPr>
          <w:p w14:paraId="00000017">
            <w:pPr>
              <w:jc w:val="both"/>
              <w:rPr/>
            </w:pPr>
            <w:r>
              <w:t xml:space="preserve">Реализация комплекса организационных, разъяснительных и иных </w:t>
            </w:r>
            <w:r>
              <w:t>мер  по</w:t>
            </w:r>
            <w:r>
              <w:t xml:space="preserve"> соблюдению сотрудниками учреждения Кодекса этики и служебного поведения, запретов, ограничений и требований, установленных в целях противодействия коррупции (информирование, беседы, совещания)</w:t>
            </w:r>
          </w:p>
        </w:tc>
        <w:tc>
          <w:tcPr>
            <w:cnfStyle w:val="000000100000"/>
            <w:tcW w:w="8061" w:type="dxa"/>
          </w:tcPr>
          <w:p w14:paraId="00000018">
            <w:pPr>
              <w:jc w:val="both"/>
              <w:rPr/>
            </w:pPr>
            <w:r>
              <w:t xml:space="preserve">При приеме на работу граждане знакомятся с Кодексом этики и служебного поведения, а </w:t>
            </w:r>
            <w:r>
              <w:t>также  локальными</w:t>
            </w:r>
            <w:r>
              <w:t xml:space="preserve"> актами учреждения  регламентирующими запреты, ограничения и требования, установленные в целях противодействия коррупции.  В трудовых договорах работников закреплена обязанность по соблюдению антикоррупционной политики учреждения и ответственность за нарушение оной. Информационный стенд, посвященный вопросам противодействия коррупции, систематически актуализируется.</w:t>
            </w:r>
          </w:p>
          <w:p w14:paraId="00000019">
            <w:pPr>
              <w:jc w:val="both"/>
              <w:rPr>
                <w:b/>
              </w:rPr>
            </w:pPr>
            <w:r>
              <w:t xml:space="preserve">В </w:t>
            </w:r>
            <w:r>
              <w:t>4 квартале</w:t>
            </w:r>
            <w:r>
              <w:t xml:space="preserve"> 2024 года проведено тестирование директора учреждения, лиц, ответственных за профилактику коррупционных и иных правонарушений, лиц, участвующих в закупках товаров, работ, услуг на знание законодательства о противодействии коррупции. Результаты тестирования показали, </w:t>
            </w:r>
            <w:r>
              <w:t>что  участник</w:t>
            </w:r>
            <w:r>
              <w:t>и</w:t>
            </w:r>
            <w:r>
              <w:t xml:space="preserve"> ответили правильно на </w:t>
            </w:r>
            <w:r>
              <w:t xml:space="preserve">92-95% </w:t>
            </w:r>
            <w:r>
              <w:t>вопрос</w:t>
            </w:r>
            <w:r>
              <w:t>ов</w:t>
            </w:r>
            <w:r>
              <w:t xml:space="preserve"> теста.</w:t>
            </w:r>
          </w:p>
        </w:tc>
      </w:tr>
      <w:tr>
        <w:trPr/>
        <w:tc>
          <w:tcPr>
            <w:cnfStyle w:val="001000010000"/>
            <w:tcW w:w="7508" w:type="dxa"/>
          </w:tcPr>
          <w:p w14:paraId="0000001A">
            <w:pPr>
              <w:jc w:val="both"/>
              <w:rPr/>
            </w:pPr>
            <w:r>
              <w:t xml:space="preserve">Распространение среди работников учреждения методических рекомендаций и иных информационных материалов по вопросам </w:t>
            </w:r>
            <w:r>
              <w:t>про</w:t>
            </w:r>
            <w:r>
              <w:t>филактики коррупции в учреждении</w:t>
            </w:r>
          </w:p>
        </w:tc>
        <w:tc>
          <w:tcPr>
            <w:cnfStyle w:val="000000010000"/>
            <w:tcW w:w="8061" w:type="dxa"/>
          </w:tcPr>
          <w:p w14:paraId="0000001B">
            <w:r>
              <w:t>В 202</w:t>
            </w:r>
            <w:r>
              <w:t>4</w:t>
            </w:r>
            <w:r>
              <w:t xml:space="preserve"> году </w:t>
            </w:r>
            <w:r>
              <w:t xml:space="preserve">в учреждении </w:t>
            </w:r>
            <w:r>
              <w:t>проведены:</w:t>
            </w:r>
          </w:p>
          <w:p w14:paraId="0000001C">
            <w:pPr>
              <w:jc w:val="both"/>
              <w:rPr/>
            </w:pPr>
            <w:r>
              <w:rPr>
                <w:rStyle w:val="Menu3br1"/>
                <w:color w:val="auto"/>
              </w:rPr>
              <w:t xml:space="preserve">- </w:t>
            </w:r>
            <w:r>
              <w:rPr>
                <w:rStyle w:val="Menu3br1"/>
                <w:rFonts w:ascii="Times New Roman" w:cs="Times New Roman" w:hAnsi="Times New Roman"/>
                <w:b w:val="off"/>
                <w:color w:val="auto"/>
                <w:sz w:val="24"/>
                <w:szCs w:val="24"/>
              </w:rPr>
              <w:t>семинары</w:t>
            </w:r>
            <w:r>
              <w:t xml:space="preserve">  по</w:t>
            </w:r>
            <w:r>
              <w:t xml:space="preserve"> </w:t>
            </w:r>
            <w:r>
              <w:t xml:space="preserve">темам </w:t>
            </w:r>
            <w:r>
              <w:t>«Противодействие коррупции в сфере государственных и муниципальных закупок», «Противодействие коррупции и формирование антикоррупционного поведения» (январь);</w:t>
            </w:r>
          </w:p>
          <w:p w14:paraId="0000001D">
            <w:pPr>
              <w:jc w:val="both"/>
              <w:rPr>
                <w:b/>
              </w:rPr>
            </w:pPr>
            <w:r>
              <w:t xml:space="preserve">- методические занятия по темам: </w:t>
            </w:r>
            <w:r>
              <w:t>«</w:t>
            </w:r>
            <w:r>
              <w:t>Обзор изменений в законодательстве по противодействию коррупции</w:t>
            </w:r>
            <w:r>
              <w:t>»</w:t>
            </w:r>
            <w:r>
              <w:t xml:space="preserve"> (1 квартал), </w:t>
            </w:r>
            <w:r>
              <w:t>«</w:t>
            </w:r>
            <w:r>
              <w:t xml:space="preserve">Обзор практики привлечения к ответственности за совершение коррупционных </w:t>
            </w:r>
            <w:r>
              <w:t>правонарушений</w:t>
            </w:r>
            <w:r>
              <w:t>»(</w:t>
            </w:r>
            <w:r>
              <w:t>2 квартал)</w:t>
            </w:r>
            <w:r>
              <w:t xml:space="preserve">, </w:t>
            </w:r>
            <w:r>
              <w:t>«</w:t>
            </w:r>
            <w:r>
              <w:t>Обзор основных нарушений допускаемых работниками и руководителями</w:t>
            </w:r>
            <w:r>
              <w:t>»</w:t>
            </w:r>
            <w:r>
              <w:t xml:space="preserve"> </w:t>
            </w:r>
            <w:r>
              <w:t>(3 квартал),</w:t>
            </w:r>
            <w:r>
              <w:t xml:space="preserve"> </w:t>
            </w:r>
            <w:r>
              <w:t>«</w:t>
            </w:r>
            <w:r>
              <w:t>Обзор актов реагирования надзорных органов и результатах их рассмотрения</w:t>
            </w:r>
            <w:r>
              <w:t>» (4 квартал)</w:t>
            </w:r>
            <w:r>
              <w:t>.</w:t>
            </w:r>
          </w:p>
        </w:tc>
      </w:tr>
      <w:tr>
        <w:trPr/>
        <w:tc>
          <w:tcPr>
            <w:cnfStyle w:val="001000100000"/>
            <w:tcW w:w="7508" w:type="dxa"/>
          </w:tcPr>
          <w:p w14:paraId="000000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cnfStyle w:val="000000100000"/>
            <w:tcW w:w="8061" w:type="dxa"/>
          </w:tcPr>
          <w:p w14:paraId="0000001F">
            <w:pPr>
              <w:jc w:val="both"/>
              <w:rPr/>
            </w:pPr>
            <w:r>
              <w:t xml:space="preserve">Проведения индивидуального консультирования в течение года не требовалось. </w:t>
            </w:r>
          </w:p>
        </w:tc>
      </w:tr>
      <w:tr>
        <w:trPr/>
        <w:tc>
          <w:tcPr>
            <w:cnfStyle w:val="001000010000"/>
            <w:tcW w:w="7508" w:type="dxa"/>
          </w:tcPr>
          <w:p w14:paraId="00000020">
            <w:pPr>
              <w:jc w:val="both"/>
              <w:rPr/>
            </w:pPr>
            <w:r>
              <w:t xml:space="preserve">Информирование работников учреждения о выявленных фактах коррупции среди сотрудников учреждения и </w:t>
            </w:r>
            <w:r>
              <w:t>мерах,  принятых</w:t>
            </w:r>
            <w:r>
              <w:t xml:space="preserve"> в целях исключения проявлений коррупции в будущем</w:t>
            </w:r>
          </w:p>
        </w:tc>
        <w:tc>
          <w:tcPr>
            <w:cnfStyle w:val="000000010000"/>
            <w:tcW w:w="8061" w:type="dxa"/>
          </w:tcPr>
          <w:p w14:paraId="00000021">
            <w:pPr>
              <w:jc w:val="both"/>
              <w:rPr/>
            </w:pPr>
            <w:r>
              <w:t>В 202</w:t>
            </w:r>
            <w:r>
              <w:t>4 году</w:t>
            </w:r>
            <w:r>
              <w:t xml:space="preserve"> </w:t>
            </w:r>
            <w:r>
              <w:t xml:space="preserve">фактов коррупции среди сотрудников учреждения </w:t>
            </w:r>
            <w:r>
              <w:t>не выявлено</w:t>
            </w:r>
            <w:r>
              <w:t>.</w:t>
            </w:r>
          </w:p>
        </w:tc>
      </w:tr>
      <w:tr>
        <w:trPr/>
        <w:tc>
          <w:tcPr>
            <w:cnfStyle w:val="001000100000"/>
            <w:tcW w:w="7508" w:type="dxa"/>
          </w:tcPr>
          <w:p w14:paraId="00000022">
            <w:pPr>
              <w:jc w:val="both"/>
              <w:rPr/>
            </w:pPr>
            <w:r>
              <w:t>Организация строгого соблюдения законодательства о контрактной системе в сфере закупок товаров, работ, услуг</w:t>
            </w:r>
          </w:p>
        </w:tc>
        <w:tc>
          <w:tcPr>
            <w:cnfStyle w:val="000000100000"/>
            <w:tcW w:w="8061" w:type="dxa"/>
          </w:tcPr>
          <w:p w14:paraId="00000023">
            <w:pPr>
              <w:jc w:val="both"/>
              <w:rPr/>
            </w:pPr>
            <w:r>
              <w:t>В 202</w:t>
            </w:r>
            <w:r>
              <w:t>4</w:t>
            </w:r>
            <w:r>
              <w:t xml:space="preserve"> году нарушений коррупционного характера при осуществлении закупок товаров, работ и услуг не выявлено. 2 работника учреждения, участвующих в закупках, представили </w:t>
            </w:r>
            <w:r>
              <w:rPr>
                <w:color w:val="000000"/>
              </w:rPr>
              <w:t xml:space="preserve">декларации </w:t>
            </w:r>
            <w:r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>возможной личной заинтересованности.</w:t>
            </w:r>
            <w:r>
              <w:rPr>
                <w:color w:val="000000"/>
              </w:rPr>
              <w:t xml:space="preserve"> Проведен анализ деклараций в ходе которого</w:t>
            </w:r>
            <w:r>
              <w:rPr>
                <w:bCs/>
              </w:rPr>
              <w:t xml:space="preserve"> наличия или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возможного наличия конфликта интересов не выявлено.</w:t>
            </w:r>
            <w:r>
              <w:t xml:space="preserve"> </w:t>
            </w:r>
          </w:p>
          <w:p w14:paraId="00000024">
            <w:pPr>
              <w:jc w:val="both"/>
              <w:rPr>
                <w:b/>
              </w:rPr>
            </w:pPr>
            <w:r>
              <w:rPr>
                <w:color w:val="22272f"/>
              </w:rPr>
              <w:t xml:space="preserve">Сотрудник учреждения, </w:t>
            </w:r>
            <w:r>
              <w:rPr>
                <w:color w:val="000000"/>
              </w:rPr>
              <w:t xml:space="preserve">ответственный за осуществление закупок товаров, работ и </w:t>
            </w:r>
            <w:r>
              <w:rPr>
                <w:color w:val="000000"/>
              </w:rPr>
              <w:t>услуг,</w:t>
            </w:r>
            <w:r>
              <w:rPr>
                <w:color w:val="22272f"/>
              </w:rPr>
              <w:t xml:space="preserve"> </w:t>
            </w:r>
            <w:r>
              <w:rPr>
                <w:color w:val="000000"/>
              </w:rPr>
              <w:t xml:space="preserve"> принял</w:t>
            </w:r>
            <w:r>
              <w:rPr>
                <w:color w:val="000000"/>
              </w:rPr>
              <w:t xml:space="preserve"> участие в сессии «Государственные и муниципальные закупки» Экономического форума «Карелия 2024», который прошел в сентябре 2024 года.</w:t>
            </w:r>
          </w:p>
        </w:tc>
      </w:tr>
      <w:tr>
        <w:trPr/>
        <w:tc>
          <w:tcPr>
            <w:cnfStyle w:val="001000010000"/>
            <w:tcW w:w="7508" w:type="dxa"/>
            <w:vAlign w:val="center"/>
          </w:tcPr>
          <w:p w14:paraId="000000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Контроль отчетности, первичных бухгалтерских документов, недопущение составления неофициальной отчетности и использования поддельных документов </w:t>
            </w:r>
          </w:p>
        </w:tc>
        <w:tc>
          <w:tcPr>
            <w:cnfStyle w:val="000000010000"/>
            <w:tcW w:w="8061" w:type="dxa"/>
          </w:tcPr>
          <w:p w14:paraId="000000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ходе ежеквартального контроля отчетности, первичных бухгалтерских документов нарушений не выявлено.</w:t>
            </w:r>
          </w:p>
        </w:tc>
      </w:tr>
      <w:tr>
        <w:trPr/>
        <w:tc>
          <w:tcPr>
            <w:cnfStyle w:val="001000100000"/>
            <w:tcW w:w="7508" w:type="dxa"/>
            <w:vAlign w:val="center"/>
          </w:tcPr>
          <w:p w14:paraId="000000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cnfStyle w:val="000000100000"/>
            <w:tcW w:w="8061" w:type="dxa"/>
            <w:vAlign w:val="center"/>
          </w:tcPr>
          <w:p w14:paraId="000000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за целевым использованием бюджетных средств осуществляется на постоянной основе.</w:t>
            </w:r>
          </w:p>
        </w:tc>
      </w:tr>
      <w:tr>
        <w:trPr/>
        <w:tc>
          <w:tcPr>
            <w:cnfStyle w:val="001000010000"/>
            <w:tcW w:w="7508" w:type="dxa"/>
          </w:tcPr>
          <w:p w14:paraId="00000029">
            <w:pPr>
              <w:jc w:val="both"/>
              <w:rPr/>
            </w:pPr>
            <w:r>
              <w:t>Размещение и актуализация документов раздела «Противодействие коррупции» на официальном сайте учреждения</w:t>
            </w:r>
          </w:p>
        </w:tc>
        <w:tc>
          <w:tcPr>
            <w:cnfStyle w:val="000000010000"/>
            <w:tcW w:w="8061" w:type="dxa"/>
          </w:tcPr>
          <w:p w14:paraId="0000002A">
            <w:pPr>
              <w:jc w:val="both"/>
              <w:rPr/>
            </w:pPr>
            <w:r>
              <w:t xml:space="preserve">Актуальные документы антикоррупционной направленности размещаются </w:t>
            </w:r>
            <w:r>
              <w:t xml:space="preserve">в подразделе «Противодействие </w:t>
            </w:r>
            <w:r>
              <w:t>коррупции»</w:t>
            </w:r>
            <w:r>
              <w:t xml:space="preserve"> раздел</w:t>
            </w:r>
            <w:r>
              <w:t>а</w:t>
            </w:r>
            <w:bookmarkStart w:id="0" w:name="_GoBack"/>
            <w:bookmarkEnd w:id="0"/>
            <w:r>
              <w:t xml:space="preserve"> </w:t>
            </w:r>
            <w:r>
              <w:t>«ИТЦ РК</w:t>
            </w:r>
            <w:r>
              <w:t>»</w:t>
            </w:r>
            <w:r>
              <w:t xml:space="preserve"> на туристском портале</w:t>
            </w:r>
            <w:r>
              <w:t xml:space="preserve">. </w:t>
            </w:r>
          </w:p>
        </w:tc>
      </w:tr>
      <w:tr>
        <w:trPr/>
        <w:tc>
          <w:tcPr>
            <w:cnfStyle w:val="001000100000"/>
            <w:tcW w:w="7508" w:type="dxa"/>
          </w:tcPr>
          <w:p w14:paraId="0000002B">
            <w:pPr>
              <w:jc w:val="both"/>
              <w:rPr/>
            </w:pPr>
            <w:r>
              <w:t>Информирование граждан о перечне и содержании услуг, оказываемых на бесплатной и платной основе на официальном сайте учреждения</w:t>
            </w:r>
          </w:p>
        </w:tc>
        <w:tc>
          <w:tcPr>
            <w:cnfStyle w:val="000000100000"/>
            <w:tcW w:w="8061" w:type="dxa"/>
          </w:tcPr>
          <w:p w14:paraId="0000002C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jc w:val="both"/>
              <w:rPr>
                <w:b/>
              </w:rPr>
            </w:pPr>
            <w:r>
              <w:t>Информация  о</w:t>
            </w:r>
            <w:r>
              <w:t xml:space="preserve"> перечне и содержании услуг, оказываемых на бесплатной  основе,  определена государственным заданием и  размещена на туристском портале в разделе «</w:t>
            </w:r>
            <w:r>
              <w:t>ИТЦ РК</w:t>
            </w:r>
            <w:r>
              <w:t>»</w:t>
            </w:r>
            <w:r>
              <w:t xml:space="preserve">. </w:t>
            </w:r>
            <w:r>
              <w:t>В настоящее время учреждение не оказывает услуг на платной основе.</w:t>
            </w:r>
          </w:p>
        </w:tc>
      </w:tr>
    </w:tbl>
    <w:p w14:paraId="0000002D">
      <w:pPr>
        <w:jc w:val="both"/>
        <w:rPr>
          <w:b/>
          <w:sz w:val="28"/>
          <w:szCs w:val="28"/>
        </w:rPr>
      </w:pPr>
    </w:p>
    <w:sectPr>
      <w:pgSz w:w="16838" w:h="11906" w:orient="landscape"/>
      <w:pgMar w:top="1077" w:right="720" w:bottom="748" w:left="539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4A"/>
    <w:rsid w:val="00000270"/>
    <w:rsid w:val="00052A4E"/>
    <w:rsid w:val="000700CC"/>
    <w:rsid w:val="00086DA4"/>
    <w:rsid w:val="000879B3"/>
    <w:rsid w:val="000C6FE2"/>
    <w:rsid w:val="000F17B6"/>
    <w:rsid w:val="001367A0"/>
    <w:rsid w:val="00192B74"/>
    <w:rsid w:val="001A38A5"/>
    <w:rsid w:val="001A701A"/>
    <w:rsid w:val="001B1E8D"/>
    <w:rsid w:val="001B6D2A"/>
    <w:rsid w:val="001D5D9E"/>
    <w:rsid w:val="001D5FF7"/>
    <w:rsid w:val="00211280"/>
    <w:rsid w:val="00212B57"/>
    <w:rsid w:val="00213468"/>
    <w:rsid w:val="0022599E"/>
    <w:rsid w:val="002C72DE"/>
    <w:rsid w:val="002C7A2A"/>
    <w:rsid w:val="002E66BF"/>
    <w:rsid w:val="00304176"/>
    <w:rsid w:val="00316159"/>
    <w:rsid w:val="00334F92"/>
    <w:rsid w:val="00361470"/>
    <w:rsid w:val="0037265E"/>
    <w:rsid w:val="0038085F"/>
    <w:rsid w:val="003A49B7"/>
    <w:rsid w:val="003A7CCB"/>
    <w:rsid w:val="003C2A1E"/>
    <w:rsid w:val="003D16CC"/>
    <w:rsid w:val="003D3D14"/>
    <w:rsid w:val="003E2256"/>
    <w:rsid w:val="003E74B8"/>
    <w:rsid w:val="00415F8A"/>
    <w:rsid w:val="00430D88"/>
    <w:rsid w:val="0044642C"/>
    <w:rsid w:val="004501F6"/>
    <w:rsid w:val="00450E7F"/>
    <w:rsid w:val="0046386A"/>
    <w:rsid w:val="00482ABE"/>
    <w:rsid w:val="004974F2"/>
    <w:rsid w:val="004A1E03"/>
    <w:rsid w:val="004C54B6"/>
    <w:rsid w:val="005116CC"/>
    <w:rsid w:val="0052131D"/>
    <w:rsid w:val="00537F0D"/>
    <w:rsid w:val="005429C1"/>
    <w:rsid w:val="005A5472"/>
    <w:rsid w:val="005C4BCE"/>
    <w:rsid w:val="005E1344"/>
    <w:rsid w:val="00605038"/>
    <w:rsid w:val="00607B08"/>
    <w:rsid w:val="006304FB"/>
    <w:rsid w:val="006400EE"/>
    <w:rsid w:val="006601E0"/>
    <w:rsid w:val="006A0DD8"/>
    <w:rsid w:val="006D4A71"/>
    <w:rsid w:val="00737D10"/>
    <w:rsid w:val="007815A7"/>
    <w:rsid w:val="007A6A32"/>
    <w:rsid w:val="007B5EB7"/>
    <w:rsid w:val="007C35AB"/>
    <w:rsid w:val="008010CC"/>
    <w:rsid w:val="00813119"/>
    <w:rsid w:val="00860449"/>
    <w:rsid w:val="00863187"/>
    <w:rsid w:val="00867051"/>
    <w:rsid w:val="00877D88"/>
    <w:rsid w:val="00886F50"/>
    <w:rsid w:val="008B05BE"/>
    <w:rsid w:val="008D29EE"/>
    <w:rsid w:val="008F43F4"/>
    <w:rsid w:val="00921DD3"/>
    <w:rsid w:val="00946DAB"/>
    <w:rsid w:val="009609DF"/>
    <w:rsid w:val="009764E4"/>
    <w:rsid w:val="00994B80"/>
    <w:rsid w:val="009B44DC"/>
    <w:rsid w:val="009B6047"/>
    <w:rsid w:val="009C1DBF"/>
    <w:rsid w:val="009C4993"/>
    <w:rsid w:val="009F32C6"/>
    <w:rsid w:val="00A06339"/>
    <w:rsid w:val="00A12C28"/>
    <w:rsid w:val="00A91306"/>
    <w:rsid w:val="00AA510F"/>
    <w:rsid w:val="00AC56DF"/>
    <w:rsid w:val="00AE01C5"/>
    <w:rsid w:val="00B24E78"/>
    <w:rsid w:val="00B3545B"/>
    <w:rsid w:val="00B417C5"/>
    <w:rsid w:val="00B44DED"/>
    <w:rsid w:val="00B744AA"/>
    <w:rsid w:val="00B85ECA"/>
    <w:rsid w:val="00BE5B4A"/>
    <w:rsid w:val="00BE5FE9"/>
    <w:rsid w:val="00C15897"/>
    <w:rsid w:val="00C214FD"/>
    <w:rsid w:val="00C2606C"/>
    <w:rsid w:val="00C276AB"/>
    <w:rsid w:val="00C814D8"/>
    <w:rsid w:val="00C90B0A"/>
    <w:rsid w:val="00CA52A3"/>
    <w:rsid w:val="00CD0D21"/>
    <w:rsid w:val="00CD725C"/>
    <w:rsid w:val="00CE0658"/>
    <w:rsid w:val="00CF56A4"/>
    <w:rsid w:val="00CF7A30"/>
    <w:rsid w:val="00D06261"/>
    <w:rsid w:val="00D236FF"/>
    <w:rsid w:val="00D47CB5"/>
    <w:rsid w:val="00D84158"/>
    <w:rsid w:val="00DB323A"/>
    <w:rsid w:val="00DB4345"/>
    <w:rsid w:val="00DB4A72"/>
    <w:rsid w:val="00DC7652"/>
    <w:rsid w:val="00DD78E4"/>
    <w:rsid w:val="00E34E21"/>
    <w:rsid w:val="00E56168"/>
    <w:rsid w:val="00E66287"/>
    <w:rsid w:val="00E77D1F"/>
    <w:rsid w:val="00E86155"/>
    <w:rsid w:val="00E96B65"/>
    <w:rsid w:val="00E972A8"/>
    <w:rsid w:val="00ED5991"/>
    <w:rsid w:val="00F2200A"/>
    <w:rsid w:val="00F72681"/>
    <w:rsid w:val="00F958B2"/>
    <w:rsid w:val="00FA7538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7A4A0-6FB6-4390-A1E4-596D5084F6CE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Heading1">
    <w:name w:val="Heading 1"/>
    <w:basedOn w:val="Normal"/>
    <w:link w:val="Заголовок1Знак"/>
    <w:uiPriority w:val="9"/>
    <w:qFormat w:val="on"/>
    <w:pPr>
      <w:spacing w:before="100" w:after="10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ConsPlusNormal">
    <w:name w:val="ConsPlusNormal"/>
    <w:uiPriority w:val="99"/>
    <w:pPr>
      <w:widowControl w:val="off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type="paragraph" w:customStyle="1" w:styleId="ConsPlusTitle">
    <w:name w:val="ConsPlusTitle"/>
    <w:uiPriority w:val="99"/>
    <w:pPr>
      <w:widowControl w:val="off"/>
      <w:spacing w:after="0" w:line="240" w:lineRule="auto"/>
    </w:pPr>
    <w:rPr>
      <w:rFonts w:ascii="Times New Roman" w:cs="Times New Roman" w:eastAsia="Times New Roman" w:hAnsi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 w:val="on"/>
    <w:unhideWhenUsed w:val="on"/>
    <w:rPr>
      <w:color w:val="0000ff"/>
      <w:u w:val="single"/>
    </w:rPr>
  </w:style>
  <w:style w:type="character" w:customStyle="1" w:styleId="Menu3br">
    <w:name w:val="Menu3br"/>
    <w:basedOn w:val="DefaultParagraphFont"/>
    <w:uiPriority w:val="99"/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="Times New Roman" w:cs="Times New Roman" w:eastAsia="Times New Roman" w:hAnsi="Times New Roman"/>
      <w:b/>
      <w:bCs/>
      <w:sz w:val="48"/>
      <w:szCs w:val="48"/>
      <w:lang w:eastAsia="ru-RU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eastAsia="Times New Roman" w:hAnsi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FontStyle26">
    <w:name w:val="Font Style26"/>
    <w:basedOn w:val="DefaultParagraphFont"/>
    <w:uiPriority w:val="99"/>
    <w:rPr>
      <w:rFonts w:ascii="Times New Roman" w:cs="Times New Roman" w:hAnsi="Times New Roman"/>
      <w:spacing w:val="-10"/>
      <w:sz w:val="28"/>
      <w:szCs w:val="28"/>
    </w:rPr>
  </w:style>
  <w:style w:type="character" w:styleId="Strong">
    <w:name w:val="Strong"/>
    <w:uiPriority w:val="22"/>
    <w:qFormat w:val="on"/>
    <w:rPr>
      <w:rFonts w:cs="Times New Roman"/>
      <w:b/>
      <w:bCs/>
    </w:rPr>
  </w:style>
  <w:style w:type="character" w:customStyle="1" w:styleId="Menu3br1">
    <w:name w:val="Menu3br1"/>
    <w:uiPriority w:val="99"/>
    <w:rPr>
      <w:rFonts w:ascii="Arial" w:cs="Arial" w:hAnsi="Arial" w:hint="default"/>
      <w:b/>
      <w:bCs/>
      <w:color w:val="10386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Минэкомномразвития Республики Карелия</Company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Елена Ивановна</dc:creator>
  <cp:lastModifiedBy>Юлия Гаврилина</cp:lastModifiedBy>
</cp:coreProperties>
</file>